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C61" w:rsidRDefault="00120F92"/>
    <w:p w:rsidR="00BB43A0" w:rsidRDefault="00BB43A0"/>
    <w:p w:rsidR="00BB43A0" w:rsidRPr="004650E4" w:rsidRDefault="00BB43A0" w:rsidP="00BB43A0">
      <w:pPr>
        <w:jc w:val="center"/>
      </w:pPr>
    </w:p>
    <w:p w:rsidR="00BB43A0" w:rsidRPr="002F43E1" w:rsidRDefault="00BB43A0" w:rsidP="00BB43A0">
      <w:pPr>
        <w:spacing w:after="48"/>
        <w:jc w:val="center"/>
        <w:rPr>
          <w:b/>
          <w:bCs/>
          <w:smallCaps/>
          <w:sz w:val="32"/>
          <w:szCs w:val="32"/>
        </w:rPr>
      </w:pPr>
      <w:r w:rsidRPr="002F43E1">
        <w:rPr>
          <w:b/>
          <w:bCs/>
          <w:smallCaps/>
          <w:sz w:val="32"/>
          <w:szCs w:val="32"/>
        </w:rPr>
        <w:t xml:space="preserve">Città Metropolitana di </w:t>
      </w:r>
      <w:r>
        <w:rPr>
          <w:b/>
          <w:bCs/>
          <w:smallCaps/>
          <w:sz w:val="32"/>
          <w:szCs w:val="32"/>
        </w:rPr>
        <w:t>Napoli</w:t>
      </w:r>
    </w:p>
    <w:p w:rsidR="00BB43A0" w:rsidRPr="002F43E1" w:rsidRDefault="00BB43A0" w:rsidP="00BB43A0">
      <w:pPr>
        <w:spacing w:after="48"/>
        <w:jc w:val="center"/>
        <w:rPr>
          <w:b/>
          <w:bCs/>
          <w:szCs w:val="20"/>
        </w:rPr>
      </w:pPr>
      <w:r w:rsidRPr="002F43E1">
        <w:rPr>
          <w:b/>
          <w:bCs/>
          <w:szCs w:val="20"/>
        </w:rPr>
        <w:t>Soggetto Aggregatore ex art.9, c. 2, del D.L. n° 66/2014</w:t>
      </w:r>
    </w:p>
    <w:p w:rsidR="00BB43A0" w:rsidRPr="002F43E1" w:rsidRDefault="00BB43A0" w:rsidP="00BB43A0">
      <w:pPr>
        <w:spacing w:after="48"/>
        <w:jc w:val="center"/>
        <w:rPr>
          <w:b/>
          <w:bCs/>
          <w:smallCaps/>
          <w:sz w:val="32"/>
          <w:szCs w:val="32"/>
        </w:rPr>
      </w:pPr>
    </w:p>
    <w:p w:rsidR="00BB43A0" w:rsidRPr="001A0082" w:rsidRDefault="00BB43A0" w:rsidP="00BB43A0">
      <w:pPr>
        <w:spacing w:after="48"/>
        <w:jc w:val="center"/>
        <w:rPr>
          <w:b/>
          <w:bCs/>
          <w:sz w:val="28"/>
          <w:szCs w:val="28"/>
        </w:rPr>
      </w:pPr>
      <w:r w:rsidRPr="001A0082">
        <w:rPr>
          <w:b/>
          <w:bCs/>
          <w:sz w:val="28"/>
          <w:szCs w:val="28"/>
        </w:rPr>
        <w:t>Area Affari General</w:t>
      </w:r>
      <w:r>
        <w:rPr>
          <w:b/>
          <w:bCs/>
          <w:sz w:val="28"/>
          <w:szCs w:val="28"/>
        </w:rPr>
        <w:t>i</w:t>
      </w:r>
      <w:r w:rsidRPr="001A0082">
        <w:rPr>
          <w:b/>
          <w:bCs/>
          <w:sz w:val="28"/>
          <w:szCs w:val="28"/>
        </w:rPr>
        <w:t xml:space="preserve"> </w:t>
      </w:r>
    </w:p>
    <w:p w:rsidR="00BB43A0" w:rsidRPr="001A0082" w:rsidRDefault="00BB43A0" w:rsidP="00BB43A0">
      <w:pPr>
        <w:spacing w:after="48"/>
        <w:jc w:val="center"/>
        <w:rPr>
          <w:b/>
          <w:bCs/>
          <w:i/>
          <w:iCs/>
          <w:sz w:val="28"/>
          <w:szCs w:val="28"/>
        </w:rPr>
      </w:pPr>
      <w:r>
        <w:rPr>
          <w:b/>
          <w:bCs/>
          <w:sz w:val="28"/>
          <w:szCs w:val="28"/>
        </w:rPr>
        <w:t>Direzione Gare e Contratti</w:t>
      </w:r>
    </w:p>
    <w:p w:rsidR="00BB43A0" w:rsidRPr="002F43E1" w:rsidRDefault="00BB43A0" w:rsidP="00BB43A0">
      <w:pPr>
        <w:spacing w:after="48"/>
        <w:jc w:val="center"/>
      </w:pPr>
    </w:p>
    <w:p w:rsidR="00BB43A0" w:rsidRPr="002F43E1" w:rsidRDefault="00BB43A0" w:rsidP="00BB43A0">
      <w:pPr>
        <w:spacing w:after="48"/>
        <w:ind w:firstLine="709"/>
        <w:jc w:val="center"/>
        <w:rPr>
          <w:b/>
          <w:bCs/>
          <w:i/>
          <w:iCs/>
        </w:rPr>
      </w:pPr>
    </w:p>
    <w:p w:rsidR="00BB43A0" w:rsidRPr="002F43E1" w:rsidRDefault="00BB43A0" w:rsidP="00BB43A0">
      <w:pPr>
        <w:spacing w:after="48"/>
        <w:ind w:firstLine="709"/>
        <w:jc w:val="center"/>
        <w:rPr>
          <w:b/>
          <w:bCs/>
          <w:i/>
          <w:iCs/>
        </w:rPr>
      </w:pPr>
    </w:p>
    <w:p w:rsidR="00BB43A0" w:rsidRPr="002F43E1" w:rsidRDefault="00BB43A0" w:rsidP="00BB43A0">
      <w:pPr>
        <w:spacing w:after="48"/>
        <w:jc w:val="center"/>
        <w:rPr>
          <w:b/>
          <w:bCs/>
          <w:i/>
          <w:iCs/>
        </w:rPr>
      </w:pPr>
    </w:p>
    <w:p w:rsidR="00BB43A0" w:rsidRPr="004835B7" w:rsidRDefault="00BB43A0" w:rsidP="00BB43A0">
      <w:pPr>
        <w:widowControl w:val="0"/>
        <w:jc w:val="center"/>
        <w:rPr>
          <w:lang w:eastAsia="zh-CN"/>
        </w:rPr>
      </w:pPr>
      <w:r w:rsidRPr="004835B7">
        <w:rPr>
          <w:b/>
          <w:bCs/>
          <w:iCs/>
          <w:lang w:eastAsia="zh-CN"/>
        </w:rPr>
        <w:t xml:space="preserve">BANDO n. </w:t>
      </w:r>
      <w:r w:rsidR="00120F92">
        <w:rPr>
          <w:b/>
          <w:bCs/>
          <w:iCs/>
          <w:lang w:eastAsia="zh-CN"/>
        </w:rPr>
        <w:t>S003/2024</w:t>
      </w:r>
    </w:p>
    <w:p w:rsidR="00BB43A0" w:rsidRPr="004835B7" w:rsidRDefault="00BB43A0" w:rsidP="00BB43A0">
      <w:pPr>
        <w:widowControl w:val="0"/>
        <w:jc w:val="center"/>
        <w:rPr>
          <w:b/>
          <w:bCs/>
          <w:iCs/>
          <w:lang w:eastAsia="zh-CN"/>
        </w:rPr>
      </w:pPr>
    </w:p>
    <w:p w:rsidR="00BB43A0" w:rsidRPr="004835B7" w:rsidRDefault="00BB43A0" w:rsidP="00BB43A0">
      <w:pPr>
        <w:widowControl w:val="0"/>
        <w:jc w:val="center"/>
        <w:rPr>
          <w:lang w:eastAsia="zh-CN"/>
        </w:rPr>
      </w:pPr>
      <w:r w:rsidRPr="004835B7">
        <w:rPr>
          <w:b/>
          <w:bCs/>
          <w:iCs/>
          <w:lang w:eastAsia="zh-CN"/>
        </w:rPr>
        <w:t>PROCEDURA TELEMATICA APERTA</w:t>
      </w:r>
    </w:p>
    <w:p w:rsidR="00BB43A0" w:rsidRPr="004835B7" w:rsidRDefault="00BB43A0" w:rsidP="00BB43A0">
      <w:pPr>
        <w:widowControl w:val="0"/>
        <w:jc w:val="center"/>
        <w:rPr>
          <w:lang w:eastAsia="zh-CN"/>
        </w:rPr>
      </w:pPr>
      <w:r w:rsidRPr="004835B7">
        <w:rPr>
          <w:bCs/>
          <w:iCs/>
          <w:lang w:eastAsia="zh-CN"/>
        </w:rPr>
        <w:t>per l’affidamento dei servizi di pulizia, disinfe</w:t>
      </w:r>
      <w:r w:rsidR="00120F92">
        <w:rPr>
          <w:bCs/>
          <w:iCs/>
          <w:lang w:eastAsia="zh-CN"/>
        </w:rPr>
        <w:t>sta</w:t>
      </w:r>
      <w:r w:rsidRPr="004835B7">
        <w:rPr>
          <w:bCs/>
          <w:iCs/>
          <w:lang w:eastAsia="zh-CN"/>
        </w:rPr>
        <w:t xml:space="preserve">zione e </w:t>
      </w:r>
      <w:proofErr w:type="gramStart"/>
      <w:r w:rsidRPr="004835B7">
        <w:rPr>
          <w:bCs/>
          <w:iCs/>
          <w:lang w:eastAsia="zh-CN"/>
        </w:rPr>
        <w:t>sanificazione  nel</w:t>
      </w:r>
      <w:proofErr w:type="gramEnd"/>
      <w:r w:rsidRPr="004835B7">
        <w:rPr>
          <w:bCs/>
          <w:iCs/>
          <w:lang w:eastAsia="zh-CN"/>
        </w:rPr>
        <w:t xml:space="preserve"> territorio </w:t>
      </w:r>
      <w:r>
        <w:rPr>
          <w:bCs/>
          <w:iCs/>
          <w:lang w:eastAsia="zh-CN"/>
        </w:rPr>
        <w:t>della Città Metropolitana di Napoli</w:t>
      </w:r>
      <w:r w:rsidRPr="004835B7">
        <w:rPr>
          <w:bCs/>
          <w:iCs/>
          <w:lang w:eastAsia="zh-CN"/>
        </w:rPr>
        <w:t xml:space="preserve"> mediante Convenzione ex art.26 L. n.488/99 </w:t>
      </w:r>
    </w:p>
    <w:p w:rsidR="00BB43A0" w:rsidRPr="004835B7" w:rsidRDefault="00BB43A0" w:rsidP="00BB43A0">
      <w:pPr>
        <w:widowControl w:val="0"/>
        <w:jc w:val="center"/>
        <w:rPr>
          <w:lang w:eastAsia="zh-CN"/>
        </w:rPr>
      </w:pPr>
      <w:r w:rsidRPr="004835B7">
        <w:rPr>
          <w:bCs/>
          <w:iCs/>
          <w:lang w:eastAsia="zh-CN"/>
        </w:rPr>
        <w:t>e art.1, co.499, L.208/</w:t>
      </w:r>
      <w:proofErr w:type="gramStart"/>
      <w:r w:rsidRPr="004835B7">
        <w:rPr>
          <w:bCs/>
          <w:iCs/>
          <w:lang w:eastAsia="zh-CN"/>
        </w:rPr>
        <w:t>2015  attivata</w:t>
      </w:r>
      <w:proofErr w:type="gramEnd"/>
      <w:r w:rsidRPr="004835B7">
        <w:rPr>
          <w:bCs/>
          <w:iCs/>
          <w:lang w:eastAsia="zh-CN"/>
        </w:rPr>
        <w:t xml:space="preserve"> da Soggetto Aggregatore (art.9 D.L. n.66/2014)</w:t>
      </w:r>
    </w:p>
    <w:p w:rsidR="00BB43A0" w:rsidRDefault="00BB43A0" w:rsidP="00BB43A0">
      <w:pPr>
        <w:spacing w:after="48"/>
        <w:ind w:firstLine="709"/>
        <w:jc w:val="center"/>
        <w:rPr>
          <w:b/>
          <w:bCs/>
          <w:iCs/>
        </w:rPr>
      </w:pPr>
    </w:p>
    <w:p w:rsidR="00BB43A0" w:rsidRDefault="00BB43A0" w:rsidP="00BB43A0">
      <w:pPr>
        <w:autoSpaceDE w:val="0"/>
        <w:autoSpaceDN w:val="0"/>
        <w:adjustRightInd w:val="0"/>
        <w:rPr>
          <w:bCs/>
          <w:color w:val="000000"/>
        </w:rPr>
      </w:pPr>
    </w:p>
    <w:p w:rsidR="00BB43A0" w:rsidRPr="002F43E1" w:rsidRDefault="00BB43A0" w:rsidP="00BB43A0">
      <w:pPr>
        <w:spacing w:after="48"/>
        <w:ind w:firstLine="709"/>
        <w:jc w:val="center"/>
        <w:rPr>
          <w:b/>
          <w:bCs/>
          <w:iCs/>
        </w:rPr>
      </w:pPr>
    </w:p>
    <w:p w:rsidR="00BB43A0" w:rsidRPr="002F43E1" w:rsidRDefault="00BB43A0" w:rsidP="00BB43A0">
      <w:pPr>
        <w:spacing w:after="48"/>
        <w:jc w:val="center"/>
        <w:rPr>
          <w:b/>
          <w:bCs/>
          <w:iCs/>
        </w:rPr>
      </w:pPr>
    </w:p>
    <w:p w:rsidR="00BB43A0" w:rsidRDefault="00BB43A0" w:rsidP="00BB43A0">
      <w:pPr>
        <w:spacing w:after="48"/>
        <w:jc w:val="center"/>
        <w:rPr>
          <w:b/>
          <w:bCs/>
          <w:iCs/>
        </w:rPr>
      </w:pPr>
    </w:p>
    <w:p w:rsidR="00BB43A0" w:rsidRDefault="00BB43A0" w:rsidP="00BB43A0">
      <w:pPr>
        <w:spacing w:after="48"/>
        <w:jc w:val="center"/>
        <w:rPr>
          <w:b/>
          <w:bCs/>
          <w:iCs/>
        </w:rPr>
      </w:pPr>
    </w:p>
    <w:p w:rsidR="00BB43A0" w:rsidRDefault="00BB43A0" w:rsidP="00BB43A0">
      <w:pPr>
        <w:spacing w:after="48"/>
        <w:jc w:val="center"/>
        <w:rPr>
          <w:b/>
          <w:bCs/>
          <w:iCs/>
        </w:rPr>
      </w:pPr>
    </w:p>
    <w:p w:rsidR="00BB43A0" w:rsidRPr="002F43E1" w:rsidRDefault="00BB43A0" w:rsidP="00BB43A0">
      <w:pPr>
        <w:autoSpaceDE w:val="0"/>
        <w:autoSpaceDN w:val="0"/>
        <w:adjustRightInd w:val="0"/>
        <w:jc w:val="center"/>
        <w:rPr>
          <w:b/>
          <w:bCs/>
          <w:color w:val="000000"/>
        </w:rPr>
      </w:pPr>
      <w:r w:rsidRPr="002F43E1">
        <w:rPr>
          <w:b/>
          <w:bCs/>
          <w:color w:val="000000"/>
        </w:rPr>
        <w:t xml:space="preserve">ALLEGATO AL </w:t>
      </w:r>
      <w:r>
        <w:rPr>
          <w:b/>
          <w:bCs/>
          <w:color w:val="000000"/>
        </w:rPr>
        <w:t>CAPITOLATO</w:t>
      </w:r>
    </w:p>
    <w:p w:rsidR="00BB43A0" w:rsidRPr="002F43E1" w:rsidRDefault="00BB43A0" w:rsidP="00BB43A0">
      <w:pPr>
        <w:spacing w:after="48"/>
        <w:jc w:val="center"/>
        <w:rPr>
          <w:b/>
          <w:bCs/>
          <w:iCs/>
        </w:rPr>
      </w:pPr>
    </w:p>
    <w:p w:rsidR="00BB43A0" w:rsidRPr="002F43E1" w:rsidRDefault="004E6EFE" w:rsidP="00BB43A0">
      <w:pPr>
        <w:spacing w:after="48"/>
        <w:jc w:val="center"/>
        <w:rPr>
          <w:b/>
          <w:bCs/>
          <w:iCs/>
        </w:rPr>
      </w:pPr>
      <w:r>
        <w:rPr>
          <w:b/>
          <w:bCs/>
          <w:iCs/>
        </w:rPr>
        <w:t>“MODELLO VERBALE DI CONSEGNA”</w:t>
      </w:r>
    </w:p>
    <w:p w:rsidR="00BB43A0" w:rsidRPr="00850CB4" w:rsidRDefault="00BB43A0" w:rsidP="00BB43A0">
      <w:pPr>
        <w:autoSpaceDE w:val="0"/>
        <w:autoSpaceDN w:val="0"/>
        <w:adjustRightInd w:val="0"/>
        <w:rPr>
          <w:rFonts w:ascii="Garamond" w:hAnsi="Garamond" w:cs="Traditional Arabic"/>
          <w:bCs/>
          <w:color w:val="000000"/>
        </w:rPr>
      </w:pPr>
    </w:p>
    <w:p w:rsidR="00BB43A0" w:rsidRDefault="00BB43A0" w:rsidP="00BB43A0">
      <w:pPr>
        <w:pBdr>
          <w:top w:val="single" w:sz="4" w:space="1" w:color="auto"/>
          <w:left w:val="single" w:sz="4" w:space="4" w:color="auto"/>
          <w:bottom w:val="single" w:sz="4" w:space="1" w:color="auto"/>
          <w:right w:val="single" w:sz="4" w:space="4" w:color="auto"/>
        </w:pBdr>
        <w:autoSpaceDE w:val="0"/>
        <w:autoSpaceDN w:val="0"/>
        <w:adjustRightInd w:val="0"/>
        <w:jc w:val="center"/>
      </w:pPr>
      <w:r w:rsidRPr="004E1395">
        <w:br w:type="page"/>
      </w:r>
      <w:r>
        <w:lastRenderedPageBreak/>
        <w:t xml:space="preserve">MODELLO VERBALE di CONSEGNA </w:t>
      </w:r>
    </w:p>
    <w:p w:rsidR="00BB43A0" w:rsidRDefault="00BB43A0"/>
    <w:p w:rsidR="00BB43A0" w:rsidRDefault="00BB43A0" w:rsidP="00BB43A0">
      <w:pPr>
        <w:jc w:val="center"/>
      </w:pPr>
      <w:r>
        <w:t xml:space="preserve">Verbale di </w:t>
      </w:r>
      <w:proofErr w:type="gramStart"/>
      <w:r>
        <w:t xml:space="preserve">Consegna </w:t>
      </w:r>
      <w:r w:rsidR="000E5AB2">
        <w:t xml:space="preserve"> (</w:t>
      </w:r>
      <w:proofErr w:type="gramEnd"/>
      <w:r w:rsidR="000E5AB2">
        <w:t>art. 4.6 capitolato)</w:t>
      </w:r>
    </w:p>
    <w:p w:rsidR="00BB43A0" w:rsidRDefault="00BB43A0" w:rsidP="00BB43A0">
      <w:pPr>
        <w:jc w:val="center"/>
      </w:pPr>
      <w:proofErr w:type="gramStart"/>
      <w:r>
        <w:t>Per  l’attivazione</w:t>
      </w:r>
      <w:proofErr w:type="gramEnd"/>
      <w:r>
        <w:t xml:space="preserve"> dei servizi di pulizia, disinfestazione e sanificazione </w:t>
      </w:r>
    </w:p>
    <w:tbl>
      <w:tblPr>
        <w:tblStyle w:val="Grigliatabella"/>
        <w:tblW w:w="0" w:type="auto"/>
        <w:tblLook w:val="04A0" w:firstRow="1" w:lastRow="0" w:firstColumn="1" w:lastColumn="0" w:noHBand="0" w:noVBand="1"/>
      </w:tblPr>
      <w:tblGrid>
        <w:gridCol w:w="9628"/>
      </w:tblGrid>
      <w:tr w:rsidR="00BB43A0" w:rsidTr="00BB43A0">
        <w:tc>
          <w:tcPr>
            <w:tcW w:w="9628" w:type="dxa"/>
          </w:tcPr>
          <w:p w:rsidR="00BB43A0" w:rsidRDefault="00BB43A0" w:rsidP="00BB43A0">
            <w:r>
              <w:t>Amministrazione Contraente:</w:t>
            </w:r>
          </w:p>
          <w:p w:rsidR="00BB43A0" w:rsidRDefault="00BB43A0" w:rsidP="00BB43A0">
            <w:r>
              <w:t>Fornitore:</w:t>
            </w:r>
          </w:p>
          <w:p w:rsidR="00BB43A0" w:rsidRDefault="00BB43A0" w:rsidP="00BB43A0">
            <w:r>
              <w:t>ODF: n…………. del………………….</w:t>
            </w:r>
          </w:p>
        </w:tc>
      </w:tr>
    </w:tbl>
    <w:p w:rsidR="00BB43A0" w:rsidRDefault="00BB43A0" w:rsidP="00BB43A0">
      <w:pPr>
        <w:jc w:val="center"/>
      </w:pPr>
    </w:p>
    <w:p w:rsidR="00BB43A0" w:rsidRDefault="00BB43A0" w:rsidP="00BB43A0">
      <w:pPr>
        <w:jc w:val="center"/>
      </w:pPr>
    </w:p>
    <w:p w:rsidR="00BB43A0" w:rsidRPr="000E5AB2" w:rsidRDefault="00BB43A0" w:rsidP="00BB43A0">
      <w:pPr>
        <w:widowControl w:val="0"/>
        <w:numPr>
          <w:ilvl w:val="0"/>
          <w:numId w:val="1"/>
        </w:numPr>
        <w:autoSpaceDE w:val="0"/>
        <w:spacing w:after="0" w:line="240" w:lineRule="auto"/>
        <w:jc w:val="both"/>
        <w:rPr>
          <w:b/>
          <w:kern w:val="2"/>
          <w:u w:val="single"/>
        </w:rPr>
      </w:pPr>
      <w:r w:rsidRPr="000E5AB2">
        <w:rPr>
          <w:b/>
          <w:kern w:val="2"/>
          <w:u w:val="single"/>
        </w:rPr>
        <w:t>Sezione 1: attestazione della presa in consegna dei beni/immobili:</w:t>
      </w:r>
    </w:p>
    <w:p w:rsidR="00BB43A0" w:rsidRPr="00BB43A0" w:rsidRDefault="00BB43A0" w:rsidP="00BB43A0">
      <w:pPr>
        <w:widowControl w:val="0"/>
        <w:autoSpaceDE w:val="0"/>
        <w:ind w:left="708"/>
        <w:jc w:val="both"/>
        <w:rPr>
          <w:i/>
          <w:kern w:val="2"/>
        </w:rPr>
      </w:pPr>
      <w:r w:rsidRPr="00BB43A0">
        <w:rPr>
          <w:i/>
          <w:kern w:val="2"/>
        </w:rPr>
        <w:t>(L’attestazione della presa in consegna è la sezione del Verbale di Consegna che contiene il dettaglio   della consistenza dei beni/immobili dell’Amministrazione Contraente, presi in carico dal Fornitore. In tale sezione devono inoltre essere indicate le eventuali strutture e/o i mezzi e/o i servizi che l’Amministrazione Contraente eventualmente dia, in comodato d’uso, al Fornitore per lo svolgimento delle attività previste (locali, servizi, etc.).</w:t>
      </w:r>
      <w:r>
        <w:rPr>
          <w:i/>
          <w:kern w:val="2"/>
        </w:rPr>
        <w:t>)</w:t>
      </w:r>
    </w:p>
    <w:p w:rsidR="00BB43A0" w:rsidRDefault="00BB43A0" w:rsidP="00BB43A0">
      <w:pPr>
        <w:widowControl w:val="0"/>
        <w:autoSpaceDE w:val="0"/>
        <w:ind w:left="708"/>
        <w:jc w:val="both"/>
        <w:rPr>
          <w:kern w:val="2"/>
        </w:rPr>
      </w:pPr>
      <w:r>
        <w:rPr>
          <w:kern w:val="2"/>
        </w:rPr>
        <w:t>Il Fornitore prende in carico con decorrenza dal………</w:t>
      </w:r>
      <w:proofErr w:type="gramStart"/>
      <w:r>
        <w:rPr>
          <w:kern w:val="2"/>
        </w:rPr>
        <w:t>…….</w:t>
      </w:r>
      <w:proofErr w:type="gramEnd"/>
      <w:r>
        <w:rPr>
          <w:kern w:val="2"/>
        </w:rPr>
        <w:t>. le Unità di Gestione di cui al PGA n…………</w:t>
      </w:r>
      <w:proofErr w:type="gramStart"/>
      <w:r>
        <w:rPr>
          <w:kern w:val="2"/>
        </w:rPr>
        <w:t>…….</w:t>
      </w:r>
      <w:proofErr w:type="gramEnd"/>
      <w:r>
        <w:rPr>
          <w:kern w:val="2"/>
        </w:rPr>
        <w:t>.del……………………………..</w:t>
      </w:r>
    </w:p>
    <w:p w:rsidR="00BB43A0" w:rsidRPr="00E451AC" w:rsidRDefault="00BB43A0" w:rsidP="00BB43A0">
      <w:pPr>
        <w:widowControl w:val="0"/>
        <w:autoSpaceDE w:val="0"/>
        <w:ind w:left="708"/>
        <w:jc w:val="both"/>
        <w:rPr>
          <w:kern w:val="2"/>
        </w:rPr>
      </w:pPr>
      <w:r>
        <w:rPr>
          <w:kern w:val="2"/>
        </w:rPr>
        <w:t>(eventuale) Al fine dell’espletamento del servizio l’Amministrazione mette a disposizione le seguenti</w:t>
      </w:r>
      <w:r w:rsidRPr="00BB43A0">
        <w:rPr>
          <w:i/>
          <w:kern w:val="2"/>
        </w:rPr>
        <w:t xml:space="preserve"> strutture e/o i mezzi e/o i servizi</w:t>
      </w:r>
      <w:r>
        <w:rPr>
          <w:i/>
          <w:kern w:val="2"/>
        </w:rPr>
        <w:t>……………………………….</w:t>
      </w:r>
    </w:p>
    <w:p w:rsidR="00BB43A0" w:rsidRPr="00E451AC" w:rsidRDefault="00BB43A0" w:rsidP="00BB43A0">
      <w:pPr>
        <w:widowControl w:val="0"/>
        <w:numPr>
          <w:ilvl w:val="0"/>
          <w:numId w:val="1"/>
        </w:numPr>
        <w:autoSpaceDE w:val="0"/>
        <w:spacing w:after="0" w:line="240" w:lineRule="auto"/>
        <w:jc w:val="both"/>
        <w:rPr>
          <w:kern w:val="2"/>
        </w:rPr>
      </w:pPr>
      <w:r w:rsidRPr="00BB43A0">
        <w:rPr>
          <w:b/>
          <w:kern w:val="2"/>
          <w:u w:val="single"/>
        </w:rPr>
        <w:t>Sezione 2: organizzazione del Fornitore</w:t>
      </w:r>
      <w:r w:rsidRPr="00E451AC">
        <w:rPr>
          <w:kern w:val="2"/>
        </w:rPr>
        <w:t>:</w:t>
      </w:r>
    </w:p>
    <w:p w:rsidR="00BB43A0" w:rsidRDefault="000E5AB2" w:rsidP="00BB43A0">
      <w:pPr>
        <w:widowControl w:val="0"/>
        <w:autoSpaceDE w:val="0"/>
        <w:ind w:left="708"/>
        <w:jc w:val="both"/>
        <w:rPr>
          <w:i/>
          <w:kern w:val="2"/>
        </w:rPr>
      </w:pPr>
      <w:r w:rsidRPr="000E5AB2">
        <w:rPr>
          <w:i/>
          <w:kern w:val="2"/>
        </w:rPr>
        <w:t>(</w:t>
      </w:r>
      <w:r w:rsidR="00BB43A0" w:rsidRPr="000E5AB2">
        <w:rPr>
          <w:i/>
          <w:kern w:val="2"/>
        </w:rPr>
        <w:t>Tale sezione dovrà riportare l’organigramma nominativo relativo alla struttura predisposto dal Fornitore per la gestione operativa dei Servizi (personale delegato allo svolgimento delle attività) erogati nell’ambito dell’ODF. Devono essere riportati in particolare, per ciascun servizio,</w:t>
      </w:r>
      <w:r>
        <w:rPr>
          <w:i/>
          <w:kern w:val="2"/>
        </w:rPr>
        <w:t xml:space="preserve"> e Unità di Gestione,</w:t>
      </w:r>
      <w:r w:rsidR="00BB43A0" w:rsidRPr="000E5AB2">
        <w:rPr>
          <w:i/>
          <w:kern w:val="2"/>
        </w:rPr>
        <w:t xml:space="preserve"> i nominativi degli esecutivi e dei tecnici che eseguiranno le attività, con indicazione specifica del responsabile della qualità</w:t>
      </w:r>
      <w:r w:rsidRPr="000E5AB2">
        <w:rPr>
          <w:i/>
          <w:kern w:val="2"/>
        </w:rPr>
        <w:t>)</w:t>
      </w:r>
    </w:p>
    <w:p w:rsidR="000E5AB2" w:rsidRDefault="000E5AB2" w:rsidP="00BB43A0">
      <w:pPr>
        <w:widowControl w:val="0"/>
        <w:autoSpaceDE w:val="0"/>
        <w:ind w:left="708"/>
        <w:jc w:val="both"/>
        <w:rPr>
          <w:kern w:val="2"/>
        </w:rPr>
      </w:pPr>
      <w:r>
        <w:rPr>
          <w:kern w:val="2"/>
        </w:rPr>
        <w:t>Il personale impiegato nel servizio è il seguente:</w:t>
      </w:r>
    </w:p>
    <w:p w:rsidR="000E5AB2" w:rsidRDefault="000E5AB2" w:rsidP="000E5AB2">
      <w:pPr>
        <w:pStyle w:val="Paragrafoelenco"/>
        <w:widowControl w:val="0"/>
        <w:numPr>
          <w:ilvl w:val="0"/>
          <w:numId w:val="1"/>
        </w:numPr>
        <w:autoSpaceDE w:val="0"/>
        <w:jc w:val="both"/>
        <w:rPr>
          <w:kern w:val="2"/>
        </w:rPr>
      </w:pPr>
      <w:r>
        <w:rPr>
          <w:kern w:val="2"/>
        </w:rPr>
        <w:t>Indicare organigr</w:t>
      </w:r>
      <w:r w:rsidR="00106E54">
        <w:rPr>
          <w:kern w:val="2"/>
        </w:rPr>
        <w:t>amma nominativo diviso per unità</w:t>
      </w:r>
      <w:r>
        <w:rPr>
          <w:kern w:val="2"/>
        </w:rPr>
        <w:t xml:space="preserve"> di gestione e tipologia di servizio</w:t>
      </w:r>
      <w:r w:rsidR="00106E54">
        <w:rPr>
          <w:rStyle w:val="Rimandonotaapidipagina"/>
          <w:kern w:val="2"/>
        </w:rPr>
        <w:footnoteReference w:id="1"/>
      </w:r>
      <w:r>
        <w:rPr>
          <w:kern w:val="2"/>
        </w:rPr>
        <w:t>-</w:t>
      </w:r>
    </w:p>
    <w:p w:rsidR="000E5AB2" w:rsidRPr="00C1592A" w:rsidRDefault="000E5AB2" w:rsidP="000E5AB2">
      <w:pPr>
        <w:pStyle w:val="Paragrafoelenco"/>
        <w:widowControl w:val="0"/>
        <w:numPr>
          <w:ilvl w:val="0"/>
          <w:numId w:val="1"/>
        </w:numPr>
        <w:autoSpaceDE w:val="0"/>
        <w:jc w:val="both"/>
        <w:rPr>
          <w:b/>
          <w:kern w:val="2"/>
        </w:rPr>
      </w:pPr>
      <w:r w:rsidRPr="00C1592A">
        <w:rPr>
          <w:b/>
          <w:kern w:val="2"/>
        </w:rPr>
        <w:t>Indicare il responsabile della qualità</w:t>
      </w:r>
      <w:r w:rsidR="00106E54" w:rsidRPr="00C1592A">
        <w:rPr>
          <w:rStyle w:val="Rimandonotaapidipagina"/>
          <w:b/>
          <w:kern w:val="2"/>
        </w:rPr>
        <w:footnoteReference w:id="2"/>
      </w:r>
      <w:r w:rsidRPr="00C1592A">
        <w:rPr>
          <w:b/>
          <w:kern w:val="2"/>
        </w:rPr>
        <w:t xml:space="preserve"> : nominativo</w:t>
      </w:r>
    </w:p>
    <w:p w:rsidR="000E5AB2" w:rsidRPr="000E5AB2" w:rsidRDefault="000E5AB2" w:rsidP="00BB43A0">
      <w:pPr>
        <w:widowControl w:val="0"/>
        <w:autoSpaceDE w:val="0"/>
        <w:ind w:left="708"/>
        <w:jc w:val="both"/>
        <w:rPr>
          <w:kern w:val="2"/>
        </w:rPr>
      </w:pPr>
    </w:p>
    <w:p w:rsidR="0099166A" w:rsidRPr="0099166A" w:rsidRDefault="000E5AB2" w:rsidP="0099166A">
      <w:pPr>
        <w:widowControl w:val="0"/>
        <w:numPr>
          <w:ilvl w:val="0"/>
          <w:numId w:val="1"/>
        </w:numPr>
        <w:autoSpaceDE w:val="0"/>
        <w:ind w:left="708"/>
        <w:jc w:val="both"/>
        <w:rPr>
          <w:kern w:val="2"/>
        </w:rPr>
      </w:pPr>
      <w:r w:rsidRPr="0099166A">
        <w:rPr>
          <w:b/>
          <w:kern w:val="2"/>
          <w:u w:val="single"/>
        </w:rPr>
        <w:t xml:space="preserve">Sezione </w:t>
      </w:r>
      <w:r w:rsidR="0099166A" w:rsidRPr="0099166A">
        <w:rPr>
          <w:b/>
          <w:kern w:val="2"/>
          <w:u w:val="single"/>
        </w:rPr>
        <w:t>3</w:t>
      </w:r>
      <w:r w:rsidRPr="0099166A">
        <w:rPr>
          <w:b/>
          <w:kern w:val="2"/>
          <w:u w:val="single"/>
        </w:rPr>
        <w:t xml:space="preserve">: </w:t>
      </w:r>
      <w:r w:rsidR="0099166A" w:rsidRPr="0099166A">
        <w:rPr>
          <w:b/>
          <w:kern w:val="2"/>
          <w:u w:val="single"/>
        </w:rPr>
        <w:t>Subappalto</w:t>
      </w:r>
      <w:r w:rsidR="0099166A">
        <w:rPr>
          <w:b/>
          <w:kern w:val="2"/>
          <w:u w:val="single"/>
        </w:rPr>
        <w:t xml:space="preserve"> </w:t>
      </w:r>
    </w:p>
    <w:p w:rsidR="00BB43A0" w:rsidRPr="0099166A" w:rsidRDefault="00BB43A0" w:rsidP="0099166A">
      <w:pPr>
        <w:widowControl w:val="0"/>
        <w:autoSpaceDE w:val="0"/>
        <w:ind w:left="708"/>
        <w:jc w:val="both"/>
        <w:rPr>
          <w:kern w:val="2"/>
        </w:rPr>
      </w:pPr>
      <w:r w:rsidRPr="0099166A">
        <w:rPr>
          <w:kern w:val="2"/>
        </w:rPr>
        <w:t xml:space="preserve">In tale sezione il Fornitore, qualora voglia avvalersi del subappalto e sempre che </w:t>
      </w:r>
      <w:r w:rsidR="000E5AB2" w:rsidRPr="0099166A">
        <w:rPr>
          <w:kern w:val="2"/>
        </w:rPr>
        <w:t>sia stato autorizzato dalla Città Metropolitana di Napoli</w:t>
      </w:r>
      <w:r w:rsidRPr="00E451AC">
        <w:rPr>
          <w:rStyle w:val="Rimandonotaapidipagina"/>
          <w:kern w:val="2"/>
        </w:rPr>
        <w:footnoteReference w:id="3"/>
      </w:r>
      <w:r w:rsidR="000E5AB2" w:rsidRPr="0099166A">
        <w:rPr>
          <w:kern w:val="2"/>
        </w:rPr>
        <w:t xml:space="preserve"> nelle modalità previste dagli atti di gara, indica la ditta subappaltatrice. Il </w:t>
      </w:r>
      <w:r w:rsidRPr="0099166A">
        <w:rPr>
          <w:kern w:val="2"/>
        </w:rPr>
        <w:t>subappalto può essere autorizzato anche in corso d’opera, con le medesime modalità.</w:t>
      </w:r>
    </w:p>
    <w:p w:rsidR="00BB43A0" w:rsidRPr="00E451AC" w:rsidRDefault="0099166A" w:rsidP="00BB43A0">
      <w:pPr>
        <w:widowControl w:val="0"/>
        <w:autoSpaceDE w:val="0"/>
        <w:jc w:val="both"/>
        <w:rPr>
          <w:kern w:val="2"/>
        </w:rPr>
      </w:pPr>
      <w:r>
        <w:rPr>
          <w:kern w:val="2"/>
        </w:rPr>
        <w:tab/>
      </w:r>
      <w:r w:rsidR="00BB43A0" w:rsidRPr="00E451AC">
        <w:rPr>
          <w:kern w:val="2"/>
        </w:rPr>
        <w:t xml:space="preserve">L’apposito Verbale di Consegna, che sancisce la presa in carico degli immobili deve essere redatto </w:t>
      </w:r>
      <w:r>
        <w:rPr>
          <w:kern w:val="2"/>
        </w:rPr>
        <w:tab/>
      </w:r>
      <w:r w:rsidR="00BB43A0" w:rsidRPr="00E451AC">
        <w:rPr>
          <w:kern w:val="2"/>
        </w:rPr>
        <w:t>prima o contestualmente all’inizio dell’erogazione del servizio medesimo.</w:t>
      </w:r>
    </w:p>
    <w:p w:rsidR="0099166A" w:rsidRPr="0099166A" w:rsidRDefault="0099166A" w:rsidP="0099166A">
      <w:pPr>
        <w:widowControl w:val="0"/>
        <w:numPr>
          <w:ilvl w:val="0"/>
          <w:numId w:val="1"/>
        </w:numPr>
        <w:autoSpaceDE w:val="0"/>
        <w:ind w:left="708"/>
        <w:jc w:val="both"/>
        <w:rPr>
          <w:kern w:val="2"/>
        </w:rPr>
      </w:pPr>
      <w:r w:rsidRPr="0099166A">
        <w:rPr>
          <w:b/>
          <w:kern w:val="2"/>
          <w:u w:val="single"/>
        </w:rPr>
        <w:t xml:space="preserve">Sezione </w:t>
      </w:r>
      <w:r>
        <w:rPr>
          <w:b/>
          <w:kern w:val="2"/>
          <w:u w:val="single"/>
        </w:rPr>
        <w:t>4: Documentazione messa a disposizione dalla AC</w:t>
      </w:r>
    </w:p>
    <w:p w:rsidR="000255AE" w:rsidRPr="000255AE" w:rsidRDefault="000255AE" w:rsidP="000255AE">
      <w:pPr>
        <w:pStyle w:val="Paragrafoelenco"/>
        <w:widowControl w:val="0"/>
        <w:numPr>
          <w:ilvl w:val="0"/>
          <w:numId w:val="1"/>
        </w:numPr>
        <w:autoSpaceDE w:val="0"/>
        <w:spacing w:after="40"/>
        <w:jc w:val="both"/>
        <w:rPr>
          <w:kern w:val="2"/>
        </w:rPr>
      </w:pPr>
      <w:r w:rsidRPr="000255AE">
        <w:rPr>
          <w:kern w:val="2"/>
        </w:rPr>
        <w:t>In tale sezione l’AC indicherà la documentazione messa a disposizione eventualmente dalla AC (es: planimetrie)</w:t>
      </w:r>
    </w:p>
    <w:p w:rsidR="0099166A" w:rsidRDefault="0099166A" w:rsidP="000255AE">
      <w:pPr>
        <w:widowControl w:val="0"/>
        <w:autoSpaceDE w:val="0"/>
        <w:ind w:left="708"/>
        <w:jc w:val="both"/>
        <w:rPr>
          <w:kern w:val="2"/>
        </w:rPr>
      </w:pPr>
    </w:p>
    <w:p w:rsidR="00BB43A0" w:rsidRDefault="00BB43A0" w:rsidP="00BB43A0">
      <w:pPr>
        <w:jc w:val="center"/>
      </w:pPr>
    </w:p>
    <w:p w:rsidR="007B0405" w:rsidRDefault="007B0405" w:rsidP="00BB43A0">
      <w:pPr>
        <w:jc w:val="center"/>
      </w:pPr>
    </w:p>
    <w:p w:rsidR="007B0405" w:rsidRDefault="007B0405" w:rsidP="00BB43A0">
      <w:pPr>
        <w:jc w:val="center"/>
      </w:pPr>
    </w:p>
    <w:p w:rsidR="007B0405" w:rsidRDefault="007B0405" w:rsidP="00BB43A0">
      <w:pPr>
        <w:jc w:val="center"/>
      </w:pPr>
    </w:p>
    <w:sectPr w:rsidR="007B040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3A0" w:rsidRDefault="00BB43A0" w:rsidP="00BB43A0">
      <w:pPr>
        <w:spacing w:after="0" w:line="240" w:lineRule="auto"/>
      </w:pPr>
      <w:r>
        <w:separator/>
      </w:r>
    </w:p>
  </w:endnote>
  <w:endnote w:type="continuationSeparator" w:id="0">
    <w:p w:rsidR="00BB43A0" w:rsidRDefault="00BB43A0" w:rsidP="00BB4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502050306020203"/>
    <w:charset w:val="00"/>
    <w:family w:val="roman"/>
    <w:pitch w:val="variable"/>
    <w:sig w:usb0="00000287" w:usb1="00000000" w:usb2="00000000" w:usb3="00000000" w:csb0="0000009F" w:csb1="00000000"/>
  </w:font>
  <w:font w:name="Traditional Arabic">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3A0" w:rsidRDefault="00BB43A0" w:rsidP="00BB43A0">
      <w:pPr>
        <w:spacing w:after="0" w:line="240" w:lineRule="auto"/>
      </w:pPr>
      <w:r>
        <w:separator/>
      </w:r>
    </w:p>
  </w:footnote>
  <w:footnote w:type="continuationSeparator" w:id="0">
    <w:p w:rsidR="00BB43A0" w:rsidRDefault="00BB43A0" w:rsidP="00BB43A0">
      <w:pPr>
        <w:spacing w:after="0" w:line="240" w:lineRule="auto"/>
      </w:pPr>
      <w:r>
        <w:continuationSeparator/>
      </w:r>
    </w:p>
  </w:footnote>
  <w:footnote w:id="1">
    <w:p w:rsidR="00730125" w:rsidRPr="00730125" w:rsidRDefault="00106E54" w:rsidP="00730125">
      <w:pPr>
        <w:widowControl w:val="0"/>
        <w:spacing w:after="120"/>
        <w:rPr>
          <w:rFonts w:ascii="Times New Roman" w:eastAsia="Times New Roman" w:hAnsi="Times New Roman" w:cs="Times New Roman"/>
          <w:sz w:val="20"/>
          <w:szCs w:val="20"/>
          <w:lang w:eastAsia="zh-CN"/>
        </w:rPr>
      </w:pPr>
      <w:r>
        <w:rPr>
          <w:rStyle w:val="Rimandonotaapidipagina"/>
        </w:rPr>
        <w:footnoteRef/>
      </w:r>
      <w:r>
        <w:t xml:space="preserve"> </w:t>
      </w:r>
      <w:r w:rsidRPr="00730125">
        <w:rPr>
          <w:rFonts w:ascii="Times New Roman" w:eastAsia="Times New Roman" w:hAnsi="Times New Roman" w:cs="Times New Roman"/>
          <w:sz w:val="20"/>
          <w:szCs w:val="20"/>
          <w:lang w:eastAsia="zh-CN"/>
        </w:rPr>
        <w:t xml:space="preserve">Art. </w:t>
      </w:r>
      <w:proofErr w:type="gramStart"/>
      <w:r w:rsidR="00730125" w:rsidRPr="00730125">
        <w:rPr>
          <w:rFonts w:ascii="Times New Roman" w:eastAsia="Times New Roman" w:hAnsi="Times New Roman" w:cs="Times New Roman"/>
          <w:sz w:val="20"/>
          <w:szCs w:val="20"/>
          <w:lang w:eastAsia="zh-CN"/>
        </w:rPr>
        <w:t xml:space="preserve">4 </w:t>
      </w:r>
      <w:r w:rsidRPr="00730125">
        <w:rPr>
          <w:rFonts w:ascii="Times New Roman" w:eastAsia="Times New Roman" w:hAnsi="Times New Roman" w:cs="Times New Roman"/>
          <w:sz w:val="20"/>
          <w:szCs w:val="20"/>
          <w:lang w:eastAsia="zh-CN"/>
        </w:rPr>
        <w:t xml:space="preserve"> Capitolato</w:t>
      </w:r>
      <w:proofErr w:type="gramEnd"/>
      <w:r w:rsidRPr="00730125">
        <w:rPr>
          <w:rFonts w:ascii="Times New Roman" w:eastAsia="Times New Roman" w:hAnsi="Times New Roman" w:cs="Times New Roman"/>
          <w:sz w:val="20"/>
          <w:szCs w:val="20"/>
          <w:lang w:eastAsia="zh-CN"/>
        </w:rPr>
        <w:t xml:space="preserve"> “</w:t>
      </w:r>
      <w:r w:rsidR="00730125" w:rsidRPr="00730125">
        <w:rPr>
          <w:rFonts w:ascii="Times New Roman" w:eastAsia="Times New Roman" w:hAnsi="Times New Roman" w:cs="Times New Roman"/>
          <w:sz w:val="20"/>
          <w:szCs w:val="20"/>
          <w:lang w:eastAsia="zh-CN"/>
        </w:rPr>
        <w:t xml:space="preserve">“Ai sensi dell’art. 57 del </w:t>
      </w:r>
      <w:proofErr w:type="spellStart"/>
      <w:r w:rsidR="00730125" w:rsidRPr="00730125">
        <w:rPr>
          <w:rFonts w:ascii="Times New Roman" w:eastAsia="Times New Roman" w:hAnsi="Times New Roman" w:cs="Times New Roman"/>
          <w:sz w:val="20"/>
          <w:szCs w:val="20"/>
          <w:lang w:eastAsia="zh-CN"/>
        </w:rPr>
        <w:t>D.Lgs.</w:t>
      </w:r>
      <w:proofErr w:type="spellEnd"/>
      <w:r w:rsidR="00730125" w:rsidRPr="00730125">
        <w:rPr>
          <w:rFonts w:ascii="Times New Roman" w:eastAsia="Times New Roman" w:hAnsi="Times New Roman" w:cs="Times New Roman"/>
          <w:sz w:val="20"/>
          <w:szCs w:val="20"/>
          <w:lang w:eastAsia="zh-CN"/>
        </w:rPr>
        <w:t xml:space="preserve"> 36/23 al fine di garantire i livelli occupazionali esistenti, si applicano le disposizioni previste dalla contrattazione collettiva in materia di riassorbimento del </w:t>
      </w:r>
      <w:proofErr w:type="spellStart"/>
      <w:r w:rsidR="00730125" w:rsidRPr="00730125">
        <w:rPr>
          <w:rFonts w:ascii="Times New Roman" w:eastAsia="Times New Roman" w:hAnsi="Times New Roman" w:cs="Times New Roman"/>
          <w:sz w:val="20"/>
          <w:szCs w:val="20"/>
          <w:lang w:eastAsia="zh-CN"/>
        </w:rPr>
        <w:t>personale</w:t>
      </w:r>
      <w:proofErr w:type="gramStart"/>
      <w:r w:rsidR="00730125" w:rsidRPr="00730125">
        <w:rPr>
          <w:rFonts w:ascii="Times New Roman" w:eastAsia="Times New Roman" w:hAnsi="Times New Roman" w:cs="Times New Roman"/>
          <w:sz w:val="20"/>
          <w:szCs w:val="20"/>
          <w:lang w:eastAsia="zh-CN"/>
        </w:rPr>
        <w:t>.”Il</w:t>
      </w:r>
      <w:proofErr w:type="spellEnd"/>
      <w:proofErr w:type="gramEnd"/>
      <w:r w:rsidR="00730125" w:rsidRPr="00730125">
        <w:rPr>
          <w:rFonts w:ascii="Times New Roman" w:eastAsia="Times New Roman" w:hAnsi="Times New Roman" w:cs="Times New Roman"/>
          <w:sz w:val="20"/>
          <w:szCs w:val="20"/>
          <w:lang w:eastAsia="zh-CN"/>
        </w:rPr>
        <w:t xml:space="preserve"> monte ore di lavoro previsto deve essere coerente con la resa in mq/h dichiarata in sede di offerta tecnica per ogni Area omogenea.</w:t>
      </w:r>
    </w:p>
    <w:p w:rsidR="00106E54" w:rsidRDefault="00106E54" w:rsidP="00730125">
      <w:pPr>
        <w:pStyle w:val="Testonotaapidipagina"/>
      </w:pPr>
    </w:p>
  </w:footnote>
  <w:footnote w:id="2">
    <w:p w:rsidR="00106E54" w:rsidRPr="00106E54" w:rsidRDefault="00106E54" w:rsidP="00106E54">
      <w:pPr>
        <w:pStyle w:val="Testonotaapidipagina"/>
      </w:pPr>
      <w:r>
        <w:rPr>
          <w:rStyle w:val="Rimandonotaapidipagina"/>
        </w:rPr>
        <w:footnoteRef/>
      </w:r>
      <w:r>
        <w:t xml:space="preserve"> </w:t>
      </w:r>
      <w:r w:rsidRPr="00106E54">
        <w:t>In conformità a quanto previsto dal DM 51/2021 l’impresa esecutrice del servizio attua un sistema di gestione della qualità che tenga almeno conto dei seguenti elementi:</w:t>
      </w:r>
    </w:p>
    <w:p w:rsidR="00106E54" w:rsidRPr="00106E54" w:rsidRDefault="00106E54" w:rsidP="00106E54">
      <w:pPr>
        <w:pStyle w:val="Testonotaapidipagina"/>
        <w:numPr>
          <w:ilvl w:val="0"/>
          <w:numId w:val="2"/>
        </w:numPr>
      </w:pPr>
      <w:r w:rsidRPr="00106E54">
        <w:t>l’individuazione del responsabile del sistema qualità, che potrà essere diverso per ogni singolo contratto attuativo;</w:t>
      </w:r>
    </w:p>
    <w:p w:rsidR="00106E54" w:rsidRPr="00106E54" w:rsidRDefault="00106E54" w:rsidP="00106E54">
      <w:pPr>
        <w:pStyle w:val="Testonotaapidipagina"/>
        <w:numPr>
          <w:ilvl w:val="0"/>
          <w:numId w:val="2"/>
        </w:numPr>
      </w:pPr>
      <w:r w:rsidRPr="00106E54">
        <w:t>la possibilità di identificare quotidianamente l’operatore che esegue gli interventi al fine di rendere più efficace l’autocontrollo;</w:t>
      </w:r>
    </w:p>
    <w:p w:rsidR="00106E54" w:rsidRPr="00106E54" w:rsidRDefault="00106E54" w:rsidP="00106E54">
      <w:pPr>
        <w:pStyle w:val="Testonotaapidipagina"/>
        <w:numPr>
          <w:ilvl w:val="0"/>
          <w:numId w:val="2"/>
        </w:numPr>
      </w:pPr>
      <w:r w:rsidRPr="00106E54">
        <w:t>l’esecuzione di monitoraggi periodici sul livello di igiene conseguito e di controlli di processo per verificare la corretta attuazione delle procedure di pulizia o, se del caso, di sanificazione.</w:t>
      </w:r>
    </w:p>
    <w:p w:rsidR="00106E54" w:rsidRPr="00106E54" w:rsidRDefault="00106E54" w:rsidP="00106E54">
      <w:pPr>
        <w:pStyle w:val="Testonotaapidipagina"/>
      </w:pPr>
    </w:p>
    <w:p w:rsidR="00106E54" w:rsidRPr="00106E54" w:rsidRDefault="00106E54" w:rsidP="00106E54">
      <w:pPr>
        <w:pStyle w:val="Testonotaapidipagina"/>
      </w:pPr>
      <w:r w:rsidRPr="00106E54">
        <w:t>L’impresa che esegue il servizio è chiamata ad attivare immediate azioni correttive, ove necessario, per il raggiungimento di un adeguato livello di igiene e ad attenersi alle indicazioni dei referenti della struttura servita finalizzate a garantire l’igiene e la connessa sicurezza degli utenti.</w:t>
      </w:r>
    </w:p>
    <w:p w:rsidR="00106E54" w:rsidRPr="00106E54" w:rsidRDefault="00106E54" w:rsidP="00106E54">
      <w:pPr>
        <w:pStyle w:val="Testonotaapidipagina"/>
      </w:pPr>
    </w:p>
    <w:p w:rsidR="00106E54" w:rsidRPr="00106E54" w:rsidRDefault="00106E54" w:rsidP="00106E54">
      <w:pPr>
        <w:pStyle w:val="Testonotaapidipagina"/>
      </w:pPr>
      <w:r w:rsidRPr="00106E54">
        <w:t xml:space="preserve">Entro 15 giorni dalla decorrenza contrattuale, l’impresa aggiudicataria esecutrice del servizio </w:t>
      </w:r>
      <w:r>
        <w:t>dovrà trasmettere</w:t>
      </w:r>
      <w:r w:rsidRPr="00106E54">
        <w:t xml:space="preserve"> una relazione descrittiva dei metodi di valutazione e delle eventuali misure premiali previste.</w:t>
      </w:r>
    </w:p>
    <w:p w:rsidR="00106E54" w:rsidRPr="00106E54" w:rsidRDefault="00106E54" w:rsidP="00106E54">
      <w:pPr>
        <w:pStyle w:val="Testonotaapidipagina"/>
      </w:pPr>
    </w:p>
    <w:p w:rsidR="00106E54" w:rsidRPr="00106E54" w:rsidRDefault="00106E54" w:rsidP="00106E54">
      <w:pPr>
        <w:pStyle w:val="Testonotaapidipagina"/>
      </w:pPr>
      <w:r w:rsidRPr="00106E54">
        <w:t>Nella sopra indicata relazione, oltre al protocollo di pulizia dovranno essere dunque puntualmente descritti:</w:t>
      </w:r>
    </w:p>
    <w:p w:rsidR="00106E54" w:rsidRPr="00106E54" w:rsidRDefault="00106E54" w:rsidP="00106E54">
      <w:pPr>
        <w:pStyle w:val="Testonotaapidipagina"/>
        <w:numPr>
          <w:ilvl w:val="0"/>
          <w:numId w:val="3"/>
        </w:numPr>
      </w:pPr>
      <w:r w:rsidRPr="00106E54">
        <w:t>i metodi di valutazione delle procedure di pulizia, che dovranno essere concordati e condivisi con la struttura di destinazione del servizio;</w:t>
      </w:r>
    </w:p>
    <w:p w:rsidR="00106E54" w:rsidRPr="00106E54" w:rsidRDefault="00106E54" w:rsidP="00106E54">
      <w:pPr>
        <w:pStyle w:val="Testonotaapidipagina"/>
        <w:numPr>
          <w:ilvl w:val="0"/>
          <w:numId w:val="3"/>
        </w:numPr>
      </w:pPr>
      <w:r w:rsidRPr="00106E54">
        <w:t>le eventuali misure premiali che l’azienda mette in atto in caso di esiti sempre positivi dei controlli che vengono eseguiti sulle operazioni svolte da ciascun singolo operatore.</w:t>
      </w:r>
    </w:p>
    <w:p w:rsidR="00106E54" w:rsidRPr="00106E54" w:rsidRDefault="00106E54" w:rsidP="00106E54">
      <w:pPr>
        <w:pStyle w:val="Testonotaapidipagina"/>
      </w:pPr>
    </w:p>
    <w:p w:rsidR="00106E54" w:rsidRDefault="00106E54">
      <w:pPr>
        <w:pStyle w:val="Testonotaapidipagina"/>
      </w:pPr>
    </w:p>
  </w:footnote>
  <w:footnote w:id="3">
    <w:p w:rsidR="00BB43A0" w:rsidRDefault="00BB43A0" w:rsidP="00BB43A0">
      <w:pPr>
        <w:pStyle w:val="Testonotaapidipagina"/>
      </w:pPr>
      <w:r>
        <w:rPr>
          <w:rStyle w:val="Rimandonotaapidipagina"/>
        </w:rPr>
        <w:footnoteRef/>
      </w:r>
      <w:r>
        <w:t xml:space="preserve"> </w:t>
      </w:r>
      <w:proofErr w:type="gramStart"/>
      <w:r>
        <w:t>In  conformità</w:t>
      </w:r>
      <w:proofErr w:type="gramEnd"/>
      <w:r>
        <w:t xml:space="preserve"> al </w:t>
      </w:r>
      <w:r w:rsidRPr="00120F92">
        <w:t>parere MIT n. 1672 del 02/12/2022 in una Convenzione Quadro ex art. 26 L. 488/99 e art. 1 co 499 L.208/2015, stipulata da un Soggetto Aggregatore e relativa a un servizio ad alta intensità di manodopera, il limite di cui all’art. 105 co.1 del d.lgs.50/2016</w:t>
      </w:r>
      <w:bookmarkStart w:id="0" w:name="_GoBack"/>
      <w:bookmarkEnd w:id="0"/>
      <w:r>
        <w:t xml:space="preserve">  (ora 119 co. 1 </w:t>
      </w:r>
      <w:proofErr w:type="spellStart"/>
      <w:r>
        <w:t>dlgs</w:t>
      </w:r>
      <w:proofErr w:type="spellEnd"/>
      <w:r>
        <w:t xml:space="preserve"> 36/23) deve essere applicato a ciascun singolo Appalto Specifico (Ordinativo di Fornitura emessi dalle Amministrazioni aderenti alla Convenzione).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singleLevel"/>
    <w:tmpl w:val="00000010"/>
    <w:lvl w:ilvl="0">
      <w:numFmt w:val="bullet"/>
      <w:lvlText w:val="-"/>
      <w:lvlJc w:val="left"/>
      <w:pPr>
        <w:tabs>
          <w:tab w:val="num" w:pos="720"/>
        </w:tabs>
        <w:ind w:left="720" w:hanging="360"/>
      </w:pPr>
      <w:rPr>
        <w:rFonts w:ascii="Times New Roman" w:hAnsi="Times New Roman" w:cs="Times New Roman" w:hint="default"/>
        <w:color w:val="339966"/>
      </w:rPr>
    </w:lvl>
  </w:abstractNum>
  <w:abstractNum w:abstractNumId="1" w15:restartNumberingAfterBreak="0">
    <w:nsid w:val="1FCF0B33"/>
    <w:multiLevelType w:val="hybridMultilevel"/>
    <w:tmpl w:val="9C22705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6FB0786A"/>
    <w:multiLevelType w:val="hybridMultilevel"/>
    <w:tmpl w:val="9AE265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F5D"/>
    <w:rsid w:val="000255AE"/>
    <w:rsid w:val="000E5AB2"/>
    <w:rsid w:val="00106E54"/>
    <w:rsid w:val="00120F92"/>
    <w:rsid w:val="003C7F5D"/>
    <w:rsid w:val="004E6EFE"/>
    <w:rsid w:val="006B0534"/>
    <w:rsid w:val="00730125"/>
    <w:rsid w:val="00760085"/>
    <w:rsid w:val="007B0405"/>
    <w:rsid w:val="0099166A"/>
    <w:rsid w:val="009F6191"/>
    <w:rsid w:val="00BB43A0"/>
    <w:rsid w:val="00C12492"/>
    <w:rsid w:val="00C159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C1EA1"/>
  <w15:chartTrackingRefBased/>
  <w15:docId w15:val="{156EDC30-F5EF-4C6A-BAD0-02CD17F7C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E5AB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BB4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1"/>
    <w:uiPriority w:val="99"/>
    <w:unhideWhenUsed/>
    <w:rsid w:val="00BB43A0"/>
    <w:pPr>
      <w:suppressAutoHyphens/>
      <w:spacing w:after="0" w:line="240" w:lineRule="auto"/>
    </w:pPr>
    <w:rPr>
      <w:rFonts w:ascii="Times New Roman" w:eastAsia="Times New Roman" w:hAnsi="Times New Roman" w:cs="Times New Roman"/>
      <w:sz w:val="20"/>
      <w:szCs w:val="20"/>
      <w:lang w:eastAsia="zh-CN"/>
    </w:rPr>
  </w:style>
  <w:style w:type="character" w:customStyle="1" w:styleId="TestonotaapidipaginaCarattere">
    <w:name w:val="Testo nota a piè di pagina Carattere"/>
    <w:basedOn w:val="Carpredefinitoparagrafo"/>
    <w:uiPriority w:val="99"/>
    <w:semiHidden/>
    <w:rsid w:val="00BB43A0"/>
    <w:rPr>
      <w:sz w:val="20"/>
      <w:szCs w:val="20"/>
    </w:rPr>
  </w:style>
  <w:style w:type="character" w:styleId="Rimandonotaapidipagina">
    <w:name w:val="footnote reference"/>
    <w:semiHidden/>
    <w:unhideWhenUsed/>
    <w:rsid w:val="00BB43A0"/>
    <w:rPr>
      <w:vertAlign w:val="superscript"/>
    </w:rPr>
  </w:style>
  <w:style w:type="character" w:customStyle="1" w:styleId="TestonotaapidipaginaCarattere1">
    <w:name w:val="Testo nota a piè di pagina Carattere1"/>
    <w:link w:val="Testonotaapidipagina"/>
    <w:uiPriority w:val="99"/>
    <w:locked/>
    <w:rsid w:val="00BB43A0"/>
    <w:rPr>
      <w:rFonts w:ascii="Times New Roman" w:eastAsia="Times New Roman" w:hAnsi="Times New Roman" w:cs="Times New Roman"/>
      <w:sz w:val="20"/>
      <w:szCs w:val="20"/>
      <w:lang w:eastAsia="zh-CN"/>
    </w:rPr>
  </w:style>
  <w:style w:type="paragraph" w:styleId="Paragrafoelenco">
    <w:name w:val="List Paragraph"/>
    <w:basedOn w:val="Normale"/>
    <w:uiPriority w:val="34"/>
    <w:qFormat/>
    <w:rsid w:val="000E5A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427</Words>
  <Characters>2437</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cmna</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LUISA PALMIERI</dc:creator>
  <cp:keywords/>
  <dc:description/>
  <cp:lastModifiedBy>MARIA LUISA PALMIERI</cp:lastModifiedBy>
  <cp:revision>8</cp:revision>
  <cp:lastPrinted>2024-03-01T10:32:00Z</cp:lastPrinted>
  <dcterms:created xsi:type="dcterms:W3CDTF">2024-02-07T09:39:00Z</dcterms:created>
  <dcterms:modified xsi:type="dcterms:W3CDTF">2024-03-07T15:20:00Z</dcterms:modified>
</cp:coreProperties>
</file>